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A760" w14:textId="77777777" w:rsidR="00771D77" w:rsidRDefault="00000000">
      <w:pPr>
        <w:spacing w:after="0" w:line="259" w:lineRule="auto"/>
        <w:ind w:left="0" w:right="35" w:firstLine="0"/>
        <w:jc w:val="center"/>
      </w:pPr>
      <w:r>
        <w:rPr>
          <w:b/>
          <w:i/>
          <w:sz w:val="33"/>
        </w:rPr>
        <w:t>Reklamační řád – náhradní díly pro motorová vozidla</w:t>
      </w:r>
    </w:p>
    <w:p w14:paraId="2017D8B6" w14:textId="77777777" w:rsidR="00771D77" w:rsidRDefault="00000000">
      <w:pPr>
        <w:spacing w:after="857" w:line="259" w:lineRule="auto"/>
        <w:ind w:left="-2" w:right="0" w:firstLine="0"/>
        <w:jc w:val="left"/>
      </w:pPr>
      <w:r>
        <w:rPr>
          <w:rFonts w:ascii="Calibri" w:eastAsia="Calibri" w:hAnsi="Calibri" w:cs="Calibri"/>
          <w:noProof/>
        </w:rPr>
        <mc:AlternateContent>
          <mc:Choice Requires="wpg">
            <w:drawing>
              <wp:inline distT="0" distB="0" distL="0" distR="0" wp14:anchorId="07FF7BAD" wp14:editId="6F383FD0">
                <wp:extent cx="5939790" cy="11430"/>
                <wp:effectExtent l="0" t="0" r="0" b="0"/>
                <wp:docPr id="1265" name="Group 1265"/>
                <wp:cNvGraphicFramePr/>
                <a:graphic xmlns:a="http://schemas.openxmlformats.org/drawingml/2006/main">
                  <a:graphicData uri="http://schemas.microsoft.com/office/word/2010/wordprocessingGroup">
                    <wpg:wgp>
                      <wpg:cNvGrpSpPr/>
                      <wpg:grpSpPr>
                        <a:xfrm>
                          <a:off x="0" y="0"/>
                          <a:ext cx="5939790" cy="11430"/>
                          <a:chOff x="0" y="0"/>
                          <a:chExt cx="5939790" cy="11430"/>
                        </a:xfrm>
                      </wpg:grpSpPr>
                      <wps:wsp>
                        <wps:cNvPr id="1643" name="Shape 1643"/>
                        <wps:cNvSpPr/>
                        <wps:spPr>
                          <a:xfrm>
                            <a:off x="0" y="0"/>
                            <a:ext cx="5939790" cy="11430"/>
                          </a:xfrm>
                          <a:custGeom>
                            <a:avLst/>
                            <a:gdLst/>
                            <a:ahLst/>
                            <a:cxnLst/>
                            <a:rect l="0" t="0" r="0" b="0"/>
                            <a:pathLst>
                              <a:path w="5939790" h="11430">
                                <a:moveTo>
                                  <a:pt x="0" y="0"/>
                                </a:moveTo>
                                <a:lnTo>
                                  <a:pt x="5939790" y="0"/>
                                </a:lnTo>
                                <a:lnTo>
                                  <a:pt x="593979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5" style="width:467.7pt;height:0.900024pt;mso-position-horizontal-relative:char;mso-position-vertical-relative:line" coordsize="59397,114">
                <v:shape id="Shape 1644" style="position:absolute;width:59397;height:114;left:0;top:0;" coordsize="5939790,11430" path="m0,0l5939790,0l5939790,11430l0,11430l0,0">
                  <v:stroke weight="0pt" endcap="flat" joinstyle="miter" miterlimit="10" on="false" color="#000000" opacity="0"/>
                  <v:fill on="true" color="#000000"/>
                </v:shape>
              </v:group>
            </w:pict>
          </mc:Fallback>
        </mc:AlternateContent>
      </w:r>
    </w:p>
    <w:p w14:paraId="4DE18B11" w14:textId="3A5D007D" w:rsidR="00771D77" w:rsidRDefault="00000000">
      <w:pPr>
        <w:spacing w:after="568" w:line="239" w:lineRule="auto"/>
        <w:ind w:left="233" w:firstLine="0"/>
        <w:jc w:val="center"/>
      </w:pPr>
      <w:r>
        <w:t xml:space="preserve">Tento reklamační řád upravuje způsob, jakým lze uplatnit ve vztahu ke společnosti </w:t>
      </w:r>
      <w:r>
        <w:rPr>
          <w:b/>
        </w:rPr>
        <w:t>SZAKAL METAL</w:t>
      </w:r>
      <w:r>
        <w:t xml:space="preserve"> </w:t>
      </w:r>
      <w:r>
        <w:rPr>
          <w:b/>
        </w:rPr>
        <w:t xml:space="preserve">s.r.o. </w:t>
      </w:r>
      <w:r>
        <w:t>(dále jen „prodávající“) nároky z odpovědnosti za vady zboží.</w:t>
      </w:r>
    </w:p>
    <w:p w14:paraId="60A0F9EB" w14:textId="77777777" w:rsidR="00771D77" w:rsidRDefault="00000000">
      <w:pPr>
        <w:numPr>
          <w:ilvl w:val="0"/>
          <w:numId w:val="1"/>
        </w:numPr>
        <w:spacing w:after="46"/>
        <w:ind w:right="0" w:hanging="566"/>
      </w:pPr>
      <w:r>
        <w:t xml:space="preserve">Záruční doba (lhůta pro uplatnění reklamace) začíná </w:t>
      </w:r>
      <w:proofErr w:type="gramStart"/>
      <w:r>
        <w:t>běžet  ode</w:t>
      </w:r>
      <w:proofErr w:type="gramEnd"/>
      <w:r>
        <w:t xml:space="preserve"> dne převzetí zboží.</w:t>
      </w:r>
    </w:p>
    <w:p w14:paraId="1AA0980C" w14:textId="77777777" w:rsidR="00771D77" w:rsidRDefault="00000000">
      <w:pPr>
        <w:spacing w:after="0" w:line="259" w:lineRule="auto"/>
        <w:ind w:left="0" w:right="0" w:firstLine="0"/>
        <w:jc w:val="left"/>
      </w:pPr>
      <w:r>
        <w:t xml:space="preserve">         Reklamovaný díl musí být </w:t>
      </w:r>
      <w:proofErr w:type="spellStart"/>
      <w:r>
        <w:t>sbaven</w:t>
      </w:r>
      <w:proofErr w:type="spellEnd"/>
      <w:r>
        <w:t xml:space="preserve"> veškerých nečistot (oleje apod.) </w:t>
      </w:r>
    </w:p>
    <w:p w14:paraId="1DF5B883" w14:textId="77777777" w:rsidR="00771D77" w:rsidRDefault="00000000">
      <w:pPr>
        <w:numPr>
          <w:ilvl w:val="0"/>
          <w:numId w:val="1"/>
        </w:numPr>
        <w:ind w:right="0" w:hanging="566"/>
      </w:pPr>
      <w:r>
        <w:t>Na právní vztahy uzavřené mezi prodávajícím na straně jedné a spotřebitelem na straně druhé se použije právní úprava odpovědnosti za vady obsažená v zákoníku č. 40/1964 Sb., dle § 616</w:t>
      </w:r>
      <w:r>
        <w:rPr>
          <w:b/>
        </w:rPr>
        <w:t xml:space="preserve"> Občanského zákoníku</w:t>
      </w:r>
      <w:r>
        <w:t>, v platném znění.</w:t>
      </w:r>
    </w:p>
    <w:p w14:paraId="76B43D3F" w14:textId="77777777" w:rsidR="00771D77" w:rsidRDefault="00000000">
      <w:pPr>
        <w:numPr>
          <w:ilvl w:val="0"/>
          <w:numId w:val="1"/>
        </w:numPr>
        <w:ind w:right="0" w:hanging="566"/>
      </w:pPr>
      <w:r>
        <w:t>Na právní vztahy uzavřené mezi prodávajícím na straně jedné a fyzickou, resp. právnickou osobou, která není spotřebitelem, na straně druhé se použije právní úprava odpovědnosti za vady obsažená v zákoně č. 513/1991 Sb., dle § 409 až 470</w:t>
      </w:r>
      <w:r>
        <w:rPr>
          <w:b/>
        </w:rPr>
        <w:t xml:space="preserve"> Obchodního zákoníku</w:t>
      </w:r>
      <w:r>
        <w:t>, v platném znění.</w:t>
      </w:r>
    </w:p>
    <w:p w14:paraId="7B9E9AE9" w14:textId="77777777" w:rsidR="00771D77" w:rsidRDefault="00000000">
      <w:pPr>
        <w:numPr>
          <w:ilvl w:val="0"/>
          <w:numId w:val="1"/>
        </w:numPr>
        <w:ind w:right="0" w:hanging="566"/>
      </w:pPr>
      <w:r>
        <w:t>Spotřebitelem je fyzická, resp. právnická osoba, která při uzavírání a plnění smlouvy nejedná v rámci své obchodní nebo jiné podnikatelské činnosti.</w:t>
      </w:r>
    </w:p>
    <w:p w14:paraId="0EA9D4C2" w14:textId="77777777" w:rsidR="00771D77" w:rsidRDefault="00000000">
      <w:pPr>
        <w:numPr>
          <w:ilvl w:val="0"/>
          <w:numId w:val="1"/>
        </w:numPr>
        <w:spacing w:after="104"/>
        <w:ind w:right="0" w:hanging="566"/>
      </w:pPr>
      <w:r>
        <w:t xml:space="preserve">Vyskytne-li se u zakoupeného zboží vada, kterou kupující sám nezpůsobil, je kupující povinen reklamovat zboží při jeho převzetí v sídle prodávajícího, nebo při převzetí zboží od dopravce. Koupi musí kupující prokázat fakturou nebo účtenkou, která zároveň slouží jako záruční list. Reklamace jakosti zboží a jejich řešení se řídí ustanovením </w:t>
      </w:r>
      <w:r>
        <w:rPr>
          <w:b/>
        </w:rPr>
        <w:t>Obchodního zákoníku</w:t>
      </w:r>
      <w:r>
        <w:t xml:space="preserve"> / </w:t>
      </w:r>
      <w:r>
        <w:rPr>
          <w:b/>
        </w:rPr>
        <w:t>Občanského zákoníku</w:t>
      </w:r>
      <w:r>
        <w:t>.</w:t>
      </w:r>
    </w:p>
    <w:p w14:paraId="2453D08C" w14:textId="77777777" w:rsidR="00771D77" w:rsidRDefault="00000000">
      <w:pPr>
        <w:ind w:left="576" w:right="0"/>
      </w:pPr>
      <w:r>
        <w:t xml:space="preserve">Požaduje-li kupující výměnu zboží po jeho zakoupení za zboží jiného druhu z důvodu spočívající na jeho straně, má prodávající právo snížit kupní cenu zboží v rozmezí </w:t>
      </w:r>
      <w:proofErr w:type="gramStart"/>
      <w:r>
        <w:t>10 - 30</w:t>
      </w:r>
      <w:proofErr w:type="gramEnd"/>
      <w:r>
        <w:t xml:space="preserve">% z důvodu nákladů s tím spojených nebo přistoupit na prodej jiného zboží v téže hodnotě nebo vyšší kupní ceně. Výměnu zboží je možné provézt do jednoho měsíce od </w:t>
      </w:r>
      <w:proofErr w:type="gramStart"/>
      <w:r>
        <w:t>nákupu</w:t>
      </w:r>
      <w:proofErr w:type="gramEnd"/>
      <w:r>
        <w:t xml:space="preserve"> resp. prodeje zboží. Na pozdější výměnu nemusí prodávající přistoupit.</w:t>
      </w:r>
    </w:p>
    <w:p w14:paraId="3E745BEF" w14:textId="77777777" w:rsidR="00771D77" w:rsidRDefault="00000000">
      <w:pPr>
        <w:numPr>
          <w:ilvl w:val="0"/>
          <w:numId w:val="1"/>
        </w:numPr>
        <w:ind w:right="0" w:hanging="566"/>
      </w:pPr>
      <w:r>
        <w:t>Zboží prodávané prodávajícím je určeno k odborné montáži. Proto je nutné při reklamaci předložit doklad o odborné montáži. Odbornou montáží se rozumí montáž v autoservisu, nebo montáž osobou, která má oprávnění tuto činnost vykonávat. Dokladem se rozumí potvrzení o montáži dílu, s uvedením technologického postupu nebo faktura, popř. stvrzenka o zaplacení s uvedením vykonaných prací, z nichž vyplývá, že byla na vozidlo (nutno uvést SPZ) namontována součástka, která je předmětem reklamace (identifikace podle objednacího kódu zboží). V tomto dokladu je dále nutné uvést stav tachometru při výměně dílu.</w:t>
      </w:r>
    </w:p>
    <w:p w14:paraId="10F7A7D5" w14:textId="77777777" w:rsidR="00771D77" w:rsidRDefault="00000000">
      <w:pPr>
        <w:numPr>
          <w:ilvl w:val="0"/>
          <w:numId w:val="1"/>
        </w:numPr>
        <w:spacing w:after="104"/>
        <w:ind w:right="0" w:hanging="566"/>
      </w:pPr>
      <w:r>
        <w:rPr>
          <w:b/>
        </w:rPr>
        <w:t xml:space="preserve">Zákazník je povinen před montáží zkontrolovat a přeměřit dodané zboží. V případě rozměrové odlišnosti a následné montáži zboží prodávající neručí za vzniklé škody a není toto zboží možné reklamovat. Vady zboží spočívající v jiném plnění, nedostatečném množství a provedení lze uplatnit u prodávajícího pouze ve lhůtě 10 dnů od data prodeje. Zboží lze vrátit pouze v originálním neporušeném a čistém obalu jak </w:t>
      </w:r>
      <w:proofErr w:type="gramStart"/>
      <w:r>
        <w:rPr>
          <w:b/>
        </w:rPr>
        <w:t>venkovním</w:t>
      </w:r>
      <w:proofErr w:type="gramEnd"/>
      <w:r>
        <w:rPr>
          <w:b/>
        </w:rPr>
        <w:t xml:space="preserve"> tak i vnitřním. V opačném případě nemusí být reklamace uznána za oprávněnou.</w:t>
      </w:r>
    </w:p>
    <w:p w14:paraId="07EE5F37" w14:textId="77777777" w:rsidR="00771D77" w:rsidRDefault="00000000">
      <w:pPr>
        <w:spacing w:after="104"/>
        <w:ind w:left="566" w:right="0" w:firstLine="0"/>
      </w:pPr>
      <w:r>
        <w:rPr>
          <w:b/>
        </w:rPr>
        <w:t>Toto ustanovení reklamačního řádu se nevztahuje na záruku za jakost.</w:t>
      </w:r>
    </w:p>
    <w:p w14:paraId="5EC7635F" w14:textId="6E06CDC8" w:rsidR="00771D77" w:rsidRDefault="00000000">
      <w:pPr>
        <w:numPr>
          <w:ilvl w:val="0"/>
          <w:numId w:val="1"/>
        </w:numPr>
        <w:spacing w:after="112"/>
        <w:ind w:right="0" w:hanging="566"/>
      </w:pPr>
      <w:r>
        <w:lastRenderedPageBreak/>
        <w:t>Ten, kdo uplatňuje nárok z odpovědnosti za vady musí prodávajícímu předložit:</w:t>
      </w:r>
      <w:r w:rsidR="001E4315">
        <w:t xml:space="preserve"> </w:t>
      </w:r>
    </w:p>
    <w:p w14:paraId="223C1BAA" w14:textId="47514ABD" w:rsidR="00771D77" w:rsidRDefault="00000000" w:rsidP="001E4315">
      <w:pPr>
        <w:pStyle w:val="Odstavecseseznamem"/>
        <w:numPr>
          <w:ilvl w:val="0"/>
          <w:numId w:val="2"/>
        </w:numPr>
        <w:spacing w:after="9"/>
        <w:ind w:right="438"/>
      </w:pPr>
      <w:r>
        <w:t>vadné zboží,</w:t>
      </w:r>
    </w:p>
    <w:p w14:paraId="3516446F" w14:textId="77777777" w:rsidR="001E4315" w:rsidRPr="001E4315" w:rsidRDefault="00000000" w:rsidP="001E4315">
      <w:pPr>
        <w:pStyle w:val="Odstavecseseznamem"/>
        <w:numPr>
          <w:ilvl w:val="0"/>
          <w:numId w:val="2"/>
        </w:numPr>
        <w:ind w:right="438"/>
      </w:pPr>
      <w:r>
        <w:t xml:space="preserve">fakturu nebo účtenku, která prokazuje koupi zboží (doklad o nabytí zboží), </w:t>
      </w:r>
      <w:r w:rsidRPr="001E4315">
        <w:rPr>
          <w:rFonts w:ascii="OpenSymbol" w:eastAsia="OpenSymbol" w:hAnsi="OpenSymbol" w:cs="OpenSymbol"/>
          <w:sz w:val="18"/>
        </w:rPr>
        <w:t xml:space="preserve"> </w:t>
      </w:r>
      <w:r w:rsidR="001E4315" w:rsidRPr="001E4315">
        <w:rPr>
          <w:rFonts w:ascii="OpenSymbol" w:eastAsia="OpenSymbol" w:hAnsi="OpenSymbol" w:cs="OpenSymbol"/>
          <w:sz w:val="18"/>
        </w:rPr>
        <w:t xml:space="preserve">   </w:t>
      </w:r>
    </w:p>
    <w:p w14:paraId="76FE0EAA" w14:textId="324C1C4F" w:rsidR="00771D77" w:rsidRDefault="00000000" w:rsidP="001E4315">
      <w:pPr>
        <w:pStyle w:val="Odstavecseseznamem"/>
        <w:numPr>
          <w:ilvl w:val="0"/>
          <w:numId w:val="2"/>
        </w:numPr>
        <w:ind w:right="438"/>
      </w:pPr>
      <w:r>
        <w:t>doklad o odborné montáži (je-li vyžadován).</w:t>
      </w:r>
    </w:p>
    <w:p w14:paraId="2CE6CF34" w14:textId="2755D96F" w:rsidR="001E4315" w:rsidRDefault="001E4315" w:rsidP="001E4315">
      <w:pPr>
        <w:pStyle w:val="Odstavecseseznamem"/>
        <w:numPr>
          <w:ilvl w:val="0"/>
          <w:numId w:val="2"/>
        </w:numPr>
        <w:ind w:right="438"/>
      </w:pPr>
      <w:r>
        <w:t xml:space="preserve">při škodě způsobené reklamovaným dílem, je nutné uvést do reklamačního protokolu žádost o náhradu této škody (poškozené díly, </w:t>
      </w:r>
      <w:proofErr w:type="gramStart"/>
      <w:r>
        <w:t>práce,</w:t>
      </w:r>
      <w:proofErr w:type="gramEnd"/>
      <w:r>
        <w:t xml:space="preserve"> atd.) buď v poznámce reklamačního protokolu, nebo v přiložené on-line příloze. Pokud je dopředu známa cena těchto položek, tak jako přílohu dát položkový rozpočet opravy. Poškozené díly je zapotřebí poslat spolu s reklamovaným dílem, aby mohlo být vše dohromady odesláno k výrobci. Na pozdější požadavky o náhradu škody výrobce dílu nebere zřetel.</w:t>
      </w:r>
    </w:p>
    <w:p w14:paraId="0B857BA8" w14:textId="77777777" w:rsidR="00771D77" w:rsidRDefault="00000000">
      <w:pPr>
        <w:numPr>
          <w:ilvl w:val="0"/>
          <w:numId w:val="1"/>
        </w:numPr>
        <w:ind w:right="0" w:hanging="566"/>
      </w:pPr>
      <w:r>
        <w:t>Nárok z odpovědnosti za vady musí být uplatněn v záruční době.</w:t>
      </w:r>
    </w:p>
    <w:p w14:paraId="1AE5A517" w14:textId="77777777" w:rsidR="00771D77" w:rsidRDefault="00000000">
      <w:pPr>
        <w:numPr>
          <w:ilvl w:val="0"/>
          <w:numId w:val="1"/>
        </w:numPr>
        <w:spacing w:after="103"/>
        <w:ind w:right="0" w:hanging="566"/>
      </w:pPr>
      <w:r>
        <w:t>Záruční doba v případě kupní smlouvy uzavřené mezi prodávajícím a spotřebitelem je stanovena na 24 měsíců.</w:t>
      </w:r>
    </w:p>
    <w:p w14:paraId="76FB1AA6" w14:textId="77777777" w:rsidR="00771D77" w:rsidRDefault="00000000">
      <w:pPr>
        <w:ind w:left="576" w:right="0"/>
      </w:pPr>
      <w:r>
        <w:t>Záruka se nevztahuje na: opotřebení věci způsobené jejím obvyklým užíváním vadu věci, která vznikla neodbornou montáží nebo jiným neodborným uvedením věci do provozu, popř. jinou vadou.</w:t>
      </w:r>
    </w:p>
    <w:p w14:paraId="1A3A5475" w14:textId="77777777" w:rsidR="00771D77" w:rsidRDefault="00000000">
      <w:pPr>
        <w:numPr>
          <w:ilvl w:val="0"/>
          <w:numId w:val="1"/>
        </w:numPr>
        <w:ind w:right="0" w:hanging="566"/>
      </w:pPr>
      <w:r>
        <w:t>V případě kupní smlouvy uzavřené mezi prodávajícím a fyzickou, resp. právnickou osobou, která není spotřebitelem, je stanovena záruční doba na 12 měsíců pro zboží vyžadující odbornou montáž, pokud záruční list nestanoví lhůtu delší nebo pokud se prodávající a kupující nedohodnou na delší záruční době. Záruka se vztahuje na veškeré vady zboží způsobené chybou při výrobě nebo vadou na použitém materiálu. Záruka se nevztahuje na nadměrné opotřebení věci způsobené jejím nesprávným užíváním.</w:t>
      </w:r>
    </w:p>
    <w:p w14:paraId="4AC6D39C" w14:textId="77777777" w:rsidR="00771D77" w:rsidRDefault="00000000">
      <w:pPr>
        <w:numPr>
          <w:ilvl w:val="0"/>
          <w:numId w:val="1"/>
        </w:numPr>
        <w:spacing w:after="1116"/>
        <w:ind w:right="0" w:hanging="566"/>
      </w:pPr>
      <w:r>
        <w:t>O reklamaci rozhodne zpravidla vedoucí provozovny nebo jím pověřená osoba ihned, ve složitějších případech do 48 hodin od uplatnění reklamace. V případě, že je nezbytné provést posouzení vady výrobku jeho dodavatelem, bude reklamace vyřízena na základě výsledku tohoto posouzení, nejpozději však do 30 dnů, v případě že reklamované zboží bude nutné odeslat na posouzení do zahraničí, je lhůta na vyřízení reklamace prodloužena na 90 dní. Vedoucí provozovny nebo jím pověřený pracovník sepíše se zákazníkem reklamační protokol, zákazník je povinen poskytnout této osobě všechny požadované údaje.</w:t>
      </w:r>
    </w:p>
    <w:tbl>
      <w:tblPr>
        <w:tblStyle w:val="TableGrid"/>
        <w:tblpPr w:vertAnchor="text" w:tblpX="4397" w:tblpY="-132"/>
        <w:tblOverlap w:val="never"/>
        <w:tblW w:w="3964" w:type="dxa"/>
        <w:tblInd w:w="0" w:type="dxa"/>
        <w:tblCellMar>
          <w:top w:w="0" w:type="dxa"/>
          <w:left w:w="115" w:type="dxa"/>
          <w:bottom w:w="0" w:type="dxa"/>
          <w:right w:w="115" w:type="dxa"/>
        </w:tblCellMar>
        <w:tblLook w:val="04A0" w:firstRow="1" w:lastRow="0" w:firstColumn="1" w:lastColumn="0" w:noHBand="0" w:noVBand="1"/>
      </w:tblPr>
      <w:tblGrid>
        <w:gridCol w:w="3964"/>
      </w:tblGrid>
      <w:tr w:rsidR="00771D77" w14:paraId="46F2F74D" w14:textId="77777777">
        <w:trPr>
          <w:trHeight w:val="527"/>
        </w:trPr>
        <w:tc>
          <w:tcPr>
            <w:tcW w:w="3964" w:type="dxa"/>
            <w:tcBorders>
              <w:top w:val="single" w:sz="9" w:space="0" w:color="000000"/>
              <w:left w:val="single" w:sz="7" w:space="0" w:color="000000"/>
              <w:bottom w:val="single" w:sz="10" w:space="0" w:color="000000"/>
              <w:right w:val="single" w:sz="7" w:space="0" w:color="000000"/>
            </w:tcBorders>
          </w:tcPr>
          <w:p w14:paraId="48B0EFF9" w14:textId="77777777" w:rsidR="00771D77" w:rsidRDefault="00771D77">
            <w:pPr>
              <w:spacing w:after="160" w:line="259" w:lineRule="auto"/>
              <w:ind w:left="0" w:right="0" w:firstLine="0"/>
              <w:jc w:val="left"/>
            </w:pPr>
          </w:p>
        </w:tc>
      </w:tr>
      <w:tr w:rsidR="00771D77" w14:paraId="7151724A" w14:textId="77777777">
        <w:trPr>
          <w:trHeight w:val="526"/>
        </w:trPr>
        <w:tc>
          <w:tcPr>
            <w:tcW w:w="3964" w:type="dxa"/>
            <w:tcBorders>
              <w:top w:val="single" w:sz="10" w:space="0" w:color="000000"/>
              <w:left w:val="single" w:sz="7" w:space="0" w:color="000000"/>
              <w:bottom w:val="single" w:sz="10" w:space="0" w:color="000000"/>
              <w:right w:val="single" w:sz="7" w:space="0" w:color="000000"/>
            </w:tcBorders>
          </w:tcPr>
          <w:p w14:paraId="720628A0" w14:textId="77777777" w:rsidR="00771D77" w:rsidRDefault="00771D77">
            <w:pPr>
              <w:spacing w:after="160" w:line="259" w:lineRule="auto"/>
              <w:ind w:left="0" w:right="0" w:firstLine="0"/>
              <w:jc w:val="left"/>
            </w:pPr>
          </w:p>
        </w:tc>
      </w:tr>
      <w:tr w:rsidR="00771D77" w14:paraId="2DDE402C" w14:textId="77777777">
        <w:trPr>
          <w:trHeight w:val="528"/>
        </w:trPr>
        <w:tc>
          <w:tcPr>
            <w:tcW w:w="3964" w:type="dxa"/>
            <w:tcBorders>
              <w:top w:val="single" w:sz="10" w:space="0" w:color="000000"/>
              <w:left w:val="single" w:sz="7" w:space="0" w:color="000000"/>
              <w:bottom w:val="single" w:sz="10" w:space="0" w:color="000000"/>
              <w:right w:val="single" w:sz="7" w:space="0" w:color="000000"/>
            </w:tcBorders>
          </w:tcPr>
          <w:p w14:paraId="5C9A7DF0" w14:textId="77777777" w:rsidR="00771D77" w:rsidRDefault="00771D77">
            <w:pPr>
              <w:spacing w:after="160" w:line="259" w:lineRule="auto"/>
              <w:ind w:left="0" w:right="0" w:firstLine="0"/>
              <w:jc w:val="left"/>
            </w:pPr>
          </w:p>
        </w:tc>
      </w:tr>
    </w:tbl>
    <w:p w14:paraId="4250A59C" w14:textId="77777777" w:rsidR="00771D77" w:rsidRDefault="00000000">
      <w:pPr>
        <w:ind w:left="3856" w:right="994"/>
      </w:pPr>
      <w:r>
        <w:t xml:space="preserve">V  </w:t>
      </w:r>
    </w:p>
    <w:p w14:paraId="2AEE3268" w14:textId="77777777" w:rsidR="00771D77" w:rsidRDefault="00000000">
      <w:pPr>
        <w:ind w:left="1594" w:right="994"/>
      </w:pPr>
      <w:r>
        <w:t xml:space="preserve">Jméno oprávněné osoby  </w:t>
      </w:r>
    </w:p>
    <w:p w14:paraId="0F10865E" w14:textId="77777777" w:rsidR="00771D77" w:rsidRDefault="00000000">
      <w:pPr>
        <w:ind w:left="1582" w:right="994"/>
      </w:pPr>
      <w:r>
        <w:t xml:space="preserve">Podpis oprávněné osoby  </w:t>
      </w:r>
    </w:p>
    <w:sectPr w:rsidR="00771D77">
      <w:pgSz w:w="11900" w:h="16840"/>
      <w:pgMar w:top="1425" w:right="841" w:bottom="1217" w:left="170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D6879"/>
    <w:multiLevelType w:val="hybridMultilevel"/>
    <w:tmpl w:val="46FA76BE"/>
    <w:lvl w:ilvl="0" w:tplc="AB72E900">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0A71946"/>
    <w:multiLevelType w:val="hybridMultilevel"/>
    <w:tmpl w:val="708068B4"/>
    <w:lvl w:ilvl="0" w:tplc="630897F0">
      <w:start w:val="1"/>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73C2054">
      <w:start w:val="1"/>
      <w:numFmt w:val="bullet"/>
      <w:lvlText w:val="●"/>
      <w:lvlJc w:val="left"/>
      <w:pPr>
        <w:ind w:left="113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87568AF4">
      <w:start w:val="1"/>
      <w:numFmt w:val="bullet"/>
      <w:lvlText w:val="▪"/>
      <w:lvlJc w:val="left"/>
      <w:pPr>
        <w:ind w:left="164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2DD49DDA">
      <w:start w:val="1"/>
      <w:numFmt w:val="bullet"/>
      <w:lvlText w:val="•"/>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787A58">
      <w:start w:val="1"/>
      <w:numFmt w:val="bullet"/>
      <w:lvlText w:val="o"/>
      <w:lvlJc w:val="left"/>
      <w:pPr>
        <w:ind w:left="308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F022CE68">
      <w:start w:val="1"/>
      <w:numFmt w:val="bullet"/>
      <w:lvlText w:val="▪"/>
      <w:lvlJc w:val="left"/>
      <w:pPr>
        <w:ind w:left="380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E0EC78D4">
      <w:start w:val="1"/>
      <w:numFmt w:val="bullet"/>
      <w:lvlText w:val="•"/>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4CE4B54">
      <w:start w:val="1"/>
      <w:numFmt w:val="bullet"/>
      <w:lvlText w:val="o"/>
      <w:lvlJc w:val="left"/>
      <w:pPr>
        <w:ind w:left="524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29BA1786">
      <w:start w:val="1"/>
      <w:numFmt w:val="bullet"/>
      <w:lvlText w:val="▪"/>
      <w:lvlJc w:val="left"/>
      <w:pPr>
        <w:ind w:left="596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num w:numId="1" w16cid:durableId="1708488033">
    <w:abstractNumId w:val="1"/>
  </w:num>
  <w:num w:numId="2" w16cid:durableId="1250233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77"/>
    <w:rsid w:val="001E4315"/>
    <w:rsid w:val="00771D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7CBF"/>
  <w15:docId w15:val="{0CA0B8D6-2D08-401E-BFCA-3CFD0BDC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78" w:line="250" w:lineRule="auto"/>
      <w:ind w:left="243" w:right="173" w:hanging="10"/>
      <w:jc w:val="both"/>
    </w:pPr>
    <w:rPr>
      <w:rFonts w:ascii="Arial" w:eastAsia="Arial" w:hAnsi="Arial" w:cs="Arial"/>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1E4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70232">
      <w:bodyDiv w:val="1"/>
      <w:marLeft w:val="0"/>
      <w:marRight w:val="0"/>
      <w:marTop w:val="0"/>
      <w:marBottom w:val="0"/>
      <w:divBdr>
        <w:top w:val="none" w:sz="0" w:space="0" w:color="auto"/>
        <w:left w:val="none" w:sz="0" w:space="0" w:color="auto"/>
        <w:bottom w:val="none" w:sz="0" w:space="0" w:color="auto"/>
        <w:right w:val="none" w:sz="0" w:space="0" w:color="auto"/>
      </w:divBdr>
      <w:divsChild>
        <w:div w:id="7444921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752</Words>
  <Characters>4438</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Reklamační řád – náhradní díly pro motorová vozidla</dc:title>
  <dc:subject/>
  <dc:creator>*</dc:creator>
  <cp:keywords/>
  <cp:lastModifiedBy>administrator Szakal Metal</cp:lastModifiedBy>
  <cp:revision>2</cp:revision>
  <dcterms:created xsi:type="dcterms:W3CDTF">2022-11-30T13:27:00Z</dcterms:created>
  <dcterms:modified xsi:type="dcterms:W3CDTF">2022-11-30T13:27:00Z</dcterms:modified>
</cp:coreProperties>
</file>